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40"/>
          <w:vertAlign w:val="baseline"/>
          <w:lang w:eastAsia="zh-CN"/>
        </w:rPr>
      </w:pPr>
      <w:r>
        <w:rPr>
          <w:rFonts w:hint="eastAsia"/>
          <w:b w:val="0"/>
          <w:bCs w:val="0"/>
          <w:sz w:val="36"/>
          <w:szCs w:val="44"/>
          <w:vertAlign w:val="baseline"/>
          <w:lang w:eastAsia="zh-CN"/>
        </w:rPr>
        <w:t>附件</w:t>
      </w:r>
      <w:r>
        <w:rPr>
          <w:rFonts w:hint="default"/>
          <w:b w:val="0"/>
          <w:bCs w:val="0"/>
          <w:sz w:val="36"/>
          <w:szCs w:val="44"/>
          <w:vertAlign w:val="baseline"/>
          <w:lang w:eastAsia="zh-CN"/>
        </w:rPr>
        <w:t>1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default"/>
          <w:b/>
          <w:bCs/>
          <w:sz w:val="40"/>
          <w:szCs w:val="48"/>
          <w:lang w:eastAsia="zh-CN"/>
        </w:rPr>
        <w:t>2022</w:t>
      </w:r>
      <w:r>
        <w:rPr>
          <w:rFonts w:hint="eastAsia"/>
          <w:b/>
          <w:bCs/>
          <w:sz w:val="40"/>
          <w:szCs w:val="48"/>
          <w:lang w:val="en-US" w:eastAsia="zh-Hans"/>
        </w:rPr>
        <w:t>年交通运输新闻宣传业务培训班</w:t>
      </w:r>
      <w:r>
        <w:rPr>
          <w:rFonts w:hint="eastAsia"/>
          <w:b/>
          <w:bCs/>
          <w:sz w:val="40"/>
          <w:szCs w:val="48"/>
          <w:lang w:eastAsia="zh-CN"/>
        </w:rPr>
        <w:t>回执</w:t>
      </w:r>
      <w:bookmarkEnd w:id="0"/>
    </w:p>
    <w:tbl>
      <w:tblPr>
        <w:tblStyle w:val="4"/>
        <w:tblW w:w="14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75"/>
        <w:gridCol w:w="861"/>
        <w:gridCol w:w="912"/>
        <w:gridCol w:w="2507"/>
        <w:gridCol w:w="965"/>
        <w:gridCol w:w="1487"/>
        <w:gridCol w:w="993"/>
        <w:gridCol w:w="1148"/>
        <w:gridCol w:w="1838"/>
        <w:gridCol w:w="1544"/>
      </w:tblGrid>
      <w:tr>
        <w:trPr>
          <w:trHeight w:val="653" w:hRule="atLeast"/>
        </w:trPr>
        <w:tc>
          <w:tcPr>
            <w:tcW w:w="797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6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民族</w:t>
            </w:r>
          </w:p>
        </w:tc>
        <w:tc>
          <w:tcPr>
            <w:tcW w:w="2507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名称</w:t>
            </w:r>
          </w:p>
        </w:tc>
        <w:tc>
          <w:tcPr>
            <w:tcW w:w="96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是否单住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电话</w:t>
            </w:r>
          </w:p>
        </w:tc>
        <w:tc>
          <w:tcPr>
            <w:tcW w:w="1148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eastAsia="zh-CN"/>
              </w:rPr>
              <w:t>QQ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号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身份证号码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Hans"/>
              </w:rPr>
              <w:t>培训地点</w:t>
            </w:r>
          </w:p>
        </w:tc>
      </w:tr>
      <w:tr>
        <w:trPr>
          <w:trHeight w:val="513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69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61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574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69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616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574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rPr>
          <w:trHeight w:val="560" w:hRule="atLeast"/>
        </w:trPr>
        <w:tc>
          <w:tcPr>
            <w:tcW w:w="79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50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65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487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4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8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  <w:r>
        <w:rPr>
          <w:rFonts w:hint="eastAsia"/>
          <w:b w:val="0"/>
          <w:bCs w:val="0"/>
          <w:sz w:val="24"/>
          <w:szCs w:val="32"/>
          <w:lang w:val="en-US" w:eastAsia="zh-Hans"/>
        </w:rPr>
        <w:t>填报说明：</w:t>
      </w:r>
      <w:r>
        <w:rPr>
          <w:rFonts w:hint="default"/>
          <w:b w:val="0"/>
          <w:bCs w:val="0"/>
          <w:sz w:val="24"/>
          <w:szCs w:val="32"/>
          <w:lang w:eastAsia="zh-Hans"/>
        </w:rPr>
        <w:t>1.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培训班分四期在海口、杭州、成都、临汾举办，请务必著名参训地点。</w:t>
      </w:r>
    </w:p>
    <w:p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联系人：姚峰、熊婷婷</w:t>
      </w:r>
      <w:r>
        <w:rPr>
          <w:rFonts w:hint="eastAsia"/>
          <w:b w:val="0"/>
          <w:bCs w:val="0"/>
          <w:sz w:val="24"/>
          <w:szCs w:val="32"/>
          <w:lang w:eastAsia="zh-Hans"/>
        </w:rPr>
        <w:t>、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周向阳</w:t>
      </w:r>
      <w:r>
        <w:rPr>
          <w:rFonts w:hint="eastAsia"/>
          <w:b w:val="0"/>
          <w:bCs w:val="0"/>
          <w:sz w:val="24"/>
          <w:szCs w:val="32"/>
          <w:lang w:eastAsia="zh-CN"/>
        </w:rPr>
        <w:t>；电话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010—65299681,  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传真：</w:t>
      </w:r>
      <w:r>
        <w:rPr>
          <w:rFonts w:hint="default"/>
          <w:b w:val="0"/>
          <w:bCs w:val="0"/>
          <w:sz w:val="24"/>
          <w:szCs w:val="32"/>
          <w:lang w:eastAsia="zh-Hans"/>
        </w:rPr>
        <w:t>010-64250641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；E—mail：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zgjtbpx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@</w:t>
      </w:r>
      <w:r>
        <w:rPr>
          <w:rFonts w:hint="default"/>
          <w:b w:val="0"/>
          <w:bCs w:val="0"/>
          <w:sz w:val="24"/>
          <w:szCs w:val="32"/>
          <w:lang w:eastAsia="zh-CN"/>
        </w:rPr>
        <w:t>163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A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0D95"/>
    <w:rsid w:val="01340D95"/>
    <w:rsid w:val="B3CE9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2021-07-15T11:29:00Z</dcterms:created>
  <dc:creator>熊慢慢。</dc:creator>
  <cp:lastModifiedBy>xiongtingting</cp:lastModifiedBy>
  <dcterms:modified xsi:type="dcterms:W3CDTF">2022-03-04T09:43:03Z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